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F31E80">
        <w:rPr>
          <w:rFonts w:ascii="Times New Roman" w:hAnsi="Times New Roman" w:cs="Times New Roman"/>
          <w:b/>
          <w:sz w:val="24"/>
          <w:szCs w:val="24"/>
        </w:rPr>
        <w:t>1</w:t>
      </w:r>
      <w:r w:rsidR="00527E3D">
        <w:rPr>
          <w:rFonts w:ascii="Times New Roman" w:hAnsi="Times New Roman" w:cs="Times New Roman"/>
          <w:b/>
          <w:sz w:val="24"/>
          <w:szCs w:val="24"/>
        </w:rPr>
        <w:t>9</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527E3D">
        <w:rPr>
          <w:rFonts w:ascii="Times New Roman" w:hAnsi="Times New Roman" w:cs="Times New Roman"/>
          <w:b/>
          <w:sz w:val="24"/>
          <w:szCs w:val="24"/>
        </w:rPr>
        <w:t>0</w:t>
      </w:r>
      <w:r w:rsidR="00096BF6">
        <w:rPr>
          <w:rFonts w:ascii="Times New Roman" w:hAnsi="Times New Roman" w:cs="Times New Roman"/>
          <w:b/>
          <w:sz w:val="24"/>
          <w:szCs w:val="24"/>
        </w:rPr>
        <w:t>1</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w:t>
      </w:r>
      <w:r w:rsidR="00527E3D">
        <w:rPr>
          <w:rFonts w:ascii="Times New Roman" w:hAnsi="Times New Roman" w:cs="Times New Roman"/>
          <w:b/>
          <w:sz w:val="24"/>
          <w:szCs w:val="24"/>
        </w:rPr>
        <w:t>7</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096BF6">
        <w:t>1</w:t>
      </w:r>
      <w:r>
        <w:t xml:space="preserve"> del mese di </w:t>
      </w:r>
      <w:r w:rsidR="00527E3D">
        <w:t>luglio</w:t>
      </w:r>
      <w:r w:rsidR="00CC6B52">
        <w:t xml:space="preserve"> alle ore </w:t>
      </w:r>
      <w:r w:rsidR="003877CF">
        <w:t>1</w:t>
      </w:r>
      <w:r w:rsidR="00527E3D">
        <w:t>6</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9D5763">
        <w:t xml:space="preserve">Proposta di </w:t>
      </w:r>
      <w:r w:rsidR="003C4E60">
        <w:t xml:space="preserve">Delibera di </w:t>
      </w:r>
      <w:r w:rsidR="009D5763">
        <w:t>Consiglio</w:t>
      </w:r>
      <w:r w:rsidR="003C4E60">
        <w:t xml:space="preserve"> Comunale numero </w:t>
      </w:r>
      <w:r w:rsidR="00527E3D">
        <w:t>38</w:t>
      </w:r>
      <w:r w:rsidR="00112EEB">
        <w:t xml:space="preserve"> del</w:t>
      </w:r>
      <w:r w:rsidR="003C4E60">
        <w:t xml:space="preserve"> </w:t>
      </w:r>
      <w:r w:rsidR="00527E3D">
        <w:t>1 luglio</w:t>
      </w:r>
      <w:r w:rsidR="008862C3">
        <w:t xml:space="preserve"> </w:t>
      </w:r>
      <w:r w:rsidR="003C4E60">
        <w:t xml:space="preserve">2020 – </w:t>
      </w:r>
      <w:r w:rsidR="008862C3">
        <w:t xml:space="preserve">Ratifica deliberazione di Giunta comunale numero </w:t>
      </w:r>
      <w:r w:rsidR="00527E3D">
        <w:t>106</w:t>
      </w:r>
      <w:r w:rsidR="008862C3">
        <w:t xml:space="preserve"> del </w:t>
      </w:r>
      <w:r w:rsidR="00527E3D">
        <w:t>9</w:t>
      </w:r>
      <w:r w:rsidR="008862C3">
        <w:t xml:space="preserve"> </w:t>
      </w:r>
      <w:r w:rsidR="00527E3D">
        <w:t>giugno</w:t>
      </w:r>
      <w:r w:rsidR="008862C3">
        <w:t xml:space="preserve"> 2020 - </w:t>
      </w:r>
      <w:r w:rsidR="003C4E60">
        <w:t xml:space="preserve">Variazione numero </w:t>
      </w:r>
      <w:r w:rsidR="00527E3D">
        <w:t>8 al Bilancio di Previsione 2020</w:t>
      </w:r>
      <w:r w:rsidR="00757B7A">
        <w:t>/2022</w:t>
      </w:r>
      <w:r w:rsidR="003C4E60">
        <w:t>.</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Default="0089286B" w:rsidP="0089286B">
      <w:pPr>
        <w:pStyle w:val="Paragrafoelenco"/>
        <w:numPr>
          <w:ilvl w:val="0"/>
          <w:numId w:val="20"/>
        </w:numPr>
        <w:jc w:val="both"/>
      </w:pPr>
      <w:r>
        <w:t>c</w:t>
      </w:r>
      <w:r w:rsidRPr="00B70495">
        <w:t>he</w:t>
      </w:r>
      <w:r>
        <w:t xml:space="preserve"> il documento unico di Programmazione (D.U.P.) 2020 – 2022 è stato approvato con Delibera del Consiglio Comunale numero 72 del 19 dicembre 2019, esecutiva per  Legge;</w:t>
      </w:r>
    </w:p>
    <w:p w:rsidR="0089286B" w:rsidRDefault="0089286B" w:rsidP="0089286B">
      <w:pPr>
        <w:pStyle w:val="Paragrafoelenco"/>
        <w:numPr>
          <w:ilvl w:val="0"/>
          <w:numId w:val="20"/>
        </w:numPr>
        <w:jc w:val="both"/>
      </w:pPr>
      <w:r>
        <w:t>che il Collegio dei Revisori con proprio parere numero 20 del 26 luglio 2019 ha dato parere favorevole al documento unico di Programmazione (D.U.P.) 2020 – 2022;</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Paragrafoelenco"/>
        <w:numPr>
          <w:ilvl w:val="0"/>
          <w:numId w:val="21"/>
        </w:numPr>
        <w:jc w:val="both"/>
      </w:pPr>
      <w:r>
        <w:t xml:space="preserve">che con </w:t>
      </w:r>
      <w:r w:rsidR="00B60F5C">
        <w:t>delibera</w:t>
      </w:r>
      <w:r>
        <w:t xml:space="preserve"> di </w:t>
      </w:r>
      <w:r w:rsidR="009842F8">
        <w:t>Giunta</w:t>
      </w:r>
      <w:r>
        <w:t xml:space="preserve"> Comunale numero </w:t>
      </w:r>
      <w:r w:rsidR="00757B7A">
        <w:t>106</w:t>
      </w:r>
      <w:r w:rsidR="009842F8">
        <w:t xml:space="preserve"> </w:t>
      </w:r>
      <w:r>
        <w:t xml:space="preserve">del </w:t>
      </w:r>
      <w:r w:rsidR="00757B7A">
        <w:t>9</w:t>
      </w:r>
      <w:r w:rsidR="00797673">
        <w:t xml:space="preserve"> </w:t>
      </w:r>
      <w:r w:rsidR="00757B7A">
        <w:t>giugno</w:t>
      </w:r>
      <w:r>
        <w:t xml:space="preserve"> 2020 </w:t>
      </w:r>
      <w:r w:rsidR="00B60F5C">
        <w:t>è stata</w:t>
      </w:r>
      <w:r>
        <w:t xml:space="preserve"> </w:t>
      </w:r>
      <w:r w:rsidR="00B60F5C">
        <w:t>approvata</w:t>
      </w:r>
      <w:r>
        <w:t xml:space="preserve"> la proposta di variazione numero </w:t>
      </w:r>
      <w:r w:rsidR="00757B7A">
        <w:t>8 al bilancio di Previsione 2020/2022</w:t>
      </w:r>
      <w:r>
        <w:t>;</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r w:rsidR="00FD3B6C">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142664" w:rsidRDefault="00142664" w:rsidP="00142664">
      <w:pPr>
        <w:pStyle w:val="Standard"/>
        <w:autoSpaceDE w:val="0"/>
        <w:jc w:val="both"/>
        <w:rPr>
          <w:rFonts w:asciiTheme="minorHAnsi" w:eastAsiaTheme="minorHAnsi" w:hAnsiTheme="minorHAnsi" w:cstheme="minorBidi"/>
          <w:kern w:val="0"/>
          <w:sz w:val="22"/>
          <w:szCs w:val="22"/>
          <w:lang w:eastAsia="en-US"/>
        </w:rPr>
      </w:pPr>
    </w:p>
    <w:p w:rsidR="00142664" w:rsidRDefault="00142664" w:rsidP="00142664">
      <w:pPr>
        <w:pStyle w:val="Standard"/>
        <w:numPr>
          <w:ilvl w:val="0"/>
          <w:numId w:val="26"/>
        </w:numPr>
        <w:autoSpaceDE w:val="0"/>
        <w:jc w:val="both"/>
        <w:rPr>
          <w:rFonts w:asciiTheme="minorHAnsi" w:hAnsiTheme="minorHAnsi" w:cstheme="minorHAnsi"/>
          <w:sz w:val="22"/>
          <w:szCs w:val="22"/>
        </w:rPr>
      </w:pPr>
      <w:r>
        <w:rPr>
          <w:rFonts w:asciiTheme="minorHAnsi" w:hAnsiTheme="minorHAnsi" w:cstheme="minorHAnsi"/>
          <w:sz w:val="22"/>
          <w:szCs w:val="22"/>
        </w:rPr>
        <w:t>che</w:t>
      </w:r>
      <w:r w:rsidRPr="00142664">
        <w:rPr>
          <w:rFonts w:asciiTheme="minorHAnsi" w:hAnsiTheme="minorHAnsi" w:cstheme="minorHAnsi"/>
          <w:sz w:val="22"/>
          <w:szCs w:val="22"/>
        </w:rPr>
        <w:t xml:space="preserve"> l’art. 106 del D.L. 19 maggio 2020, pubblicato sul supplemento ordinario n. 21 della G.U. n. 128 del 19/05/2020 recante “Misure urgenti in materia di salute pubblica, sostegno al lavoro e all’economia, nonché di politiche sociali connesse all’emergenza epidemiologica da COVID – 19” che istituisce un Fondo per le funzioni fondamentali degli enti locali al fine di fronteggiare la perdita di entrate che i bilanci subiranno per gli effetti del COVID – 19;</w:t>
      </w:r>
    </w:p>
    <w:p w:rsidR="00142664" w:rsidRDefault="00142664" w:rsidP="00142664">
      <w:pPr>
        <w:pStyle w:val="Standard"/>
        <w:numPr>
          <w:ilvl w:val="0"/>
          <w:numId w:val="26"/>
        </w:numPr>
        <w:autoSpaceDE w:val="0"/>
        <w:jc w:val="both"/>
        <w:rPr>
          <w:rFonts w:asciiTheme="minorHAnsi" w:hAnsiTheme="minorHAnsi" w:cstheme="minorHAnsi"/>
          <w:sz w:val="22"/>
          <w:szCs w:val="22"/>
        </w:rPr>
      </w:pPr>
      <w:r w:rsidRPr="00142664">
        <w:rPr>
          <w:rFonts w:asciiTheme="minorHAnsi" w:hAnsiTheme="minorHAnsi" w:cstheme="minorHAnsi"/>
          <w:sz w:val="22"/>
          <w:szCs w:val="22"/>
        </w:rPr>
        <w:t xml:space="preserve">che entro 10 giorni dalla pubblicazione del decreto rilancio saranno erogati agli enti un acconto pari al 30% del fondo in argomento pari a 3,5 miliardi di euro, che per il comune di Selargius la quota assegnata è pari a € 202.414,00; </w:t>
      </w:r>
    </w:p>
    <w:p w:rsidR="00142664" w:rsidRDefault="00142664" w:rsidP="00142664">
      <w:pPr>
        <w:pStyle w:val="Standard"/>
        <w:numPr>
          <w:ilvl w:val="0"/>
          <w:numId w:val="26"/>
        </w:numPr>
        <w:autoSpaceDE w:val="0"/>
        <w:jc w:val="both"/>
        <w:rPr>
          <w:rFonts w:asciiTheme="minorHAnsi" w:hAnsiTheme="minorHAnsi" w:cstheme="minorHAnsi"/>
          <w:sz w:val="22"/>
          <w:szCs w:val="22"/>
        </w:rPr>
      </w:pPr>
      <w:r>
        <w:rPr>
          <w:rFonts w:asciiTheme="minorHAnsi" w:hAnsiTheme="minorHAnsi" w:cstheme="minorHAnsi"/>
          <w:sz w:val="22"/>
          <w:szCs w:val="22"/>
        </w:rPr>
        <w:t>che</w:t>
      </w:r>
      <w:r w:rsidRPr="00142664">
        <w:rPr>
          <w:rFonts w:asciiTheme="minorHAnsi" w:hAnsiTheme="minorHAnsi" w:cstheme="minorHAnsi"/>
          <w:sz w:val="22"/>
          <w:szCs w:val="22"/>
        </w:rPr>
        <w:t xml:space="preserve"> la suddetta somma è stata quantificata in base alle entrate del titolo 1° e del titolo 2° (tipologia 100 e tipologia 200) risultanti dai flussi di cassa inviati dalle PP.AA. alla Banca di Italia e per il tramite dei suoi tesorieri alla data del 31.12.2019;</w:t>
      </w:r>
    </w:p>
    <w:p w:rsidR="00142664" w:rsidRDefault="00142664" w:rsidP="00142664">
      <w:pPr>
        <w:pStyle w:val="Standard"/>
        <w:numPr>
          <w:ilvl w:val="0"/>
          <w:numId w:val="26"/>
        </w:numPr>
        <w:autoSpaceDE w:val="0"/>
        <w:jc w:val="both"/>
        <w:rPr>
          <w:rFonts w:asciiTheme="minorHAnsi" w:hAnsiTheme="minorHAnsi" w:cstheme="minorHAnsi"/>
          <w:sz w:val="22"/>
          <w:szCs w:val="22"/>
        </w:rPr>
      </w:pPr>
      <w:r w:rsidRPr="00142664">
        <w:rPr>
          <w:rFonts w:asciiTheme="minorHAnsi" w:hAnsiTheme="minorHAnsi" w:cstheme="minorHAnsi"/>
          <w:sz w:val="22"/>
          <w:szCs w:val="22"/>
        </w:rPr>
        <w:t xml:space="preserve">che il saldo verrà erogato dopo le decisioni di apposito tavolo tecnico che entro il 10 luglio stabilirà i criteri di riparto sulla base delle minori entrate, i risparmi di spesa e i fabbisogni standard, mentre entro il 30.06.2021 sulla base dell’andamento effettivo delle perdite, verranno effettuate le regolazioni finanziarie tra enti o tra comparti; </w:t>
      </w:r>
    </w:p>
    <w:p w:rsidR="00142664" w:rsidRPr="00142664" w:rsidRDefault="00142664" w:rsidP="00142664">
      <w:pPr>
        <w:pStyle w:val="Standard"/>
        <w:numPr>
          <w:ilvl w:val="0"/>
          <w:numId w:val="26"/>
        </w:numPr>
        <w:autoSpaceDE w:val="0"/>
        <w:jc w:val="both"/>
        <w:rPr>
          <w:rFonts w:asciiTheme="minorHAnsi" w:eastAsiaTheme="minorHAnsi" w:hAnsiTheme="minorHAnsi" w:cstheme="minorHAnsi"/>
          <w:kern w:val="0"/>
          <w:sz w:val="22"/>
          <w:szCs w:val="22"/>
          <w:lang w:eastAsia="en-US"/>
        </w:rPr>
      </w:pPr>
      <w:r w:rsidRPr="00142664">
        <w:rPr>
          <w:rFonts w:asciiTheme="minorHAnsi" w:hAnsiTheme="minorHAnsi" w:cstheme="minorHAnsi"/>
          <w:sz w:val="22"/>
          <w:szCs w:val="22"/>
        </w:rPr>
        <w:t>che il suddetto acconto rende necessaria una variazione al fine di coprire una quota stimata di riduzione IMU per l’anno in corso in quanto trattasi per l’appunto di somme non aggiuntive atte a non dare copertura a nuove spese;</w:t>
      </w:r>
    </w:p>
    <w:p w:rsidR="00142664" w:rsidRDefault="00142664" w:rsidP="00142664">
      <w:pPr>
        <w:pStyle w:val="Standard"/>
        <w:numPr>
          <w:ilvl w:val="0"/>
          <w:numId w:val="26"/>
        </w:numPr>
        <w:autoSpaceDE w:val="0"/>
        <w:jc w:val="both"/>
        <w:rPr>
          <w:rFonts w:asciiTheme="minorHAnsi" w:hAnsiTheme="minorHAnsi" w:cstheme="minorHAnsi"/>
          <w:sz w:val="22"/>
          <w:szCs w:val="22"/>
        </w:rPr>
      </w:pP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che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 xml:space="preserve">lo schema (Allegato </w:t>
      </w:r>
      <w:r w:rsidR="00142664">
        <w:t>A</w:t>
      </w:r>
      <w:r>
        <w:t>)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lastRenderedPageBreak/>
        <w:t>che sono stati rispettati il pareggio finanziario e gli equilibri di bilancio</w:t>
      </w:r>
      <w:r w:rsidR="002B6CF5">
        <w:t xml:space="preserve"> di cassa e di competenza</w:t>
      </w:r>
      <w:r>
        <w:t xml:space="preserve"> stabiliti dall’art. 193 del D.Lgs. 267/2000, come da Allegato </w:t>
      </w:r>
      <w:r w:rsidR="00142664">
        <w:t>B</w:t>
      </w:r>
      <w:r>
        <w:t>;</w:t>
      </w:r>
    </w:p>
    <w:p w:rsidR="00020EAA" w:rsidRDefault="00020EAA" w:rsidP="00020EAA">
      <w:pPr>
        <w:pStyle w:val="Paragrafoelenco"/>
        <w:numPr>
          <w:ilvl w:val="0"/>
          <w:numId w:val="21"/>
        </w:numPr>
        <w:jc w:val="both"/>
      </w:pPr>
      <w:r>
        <w:t>che l’Ente ha provveduto alla verifica di tutte le risorse e gli interventi di entrata e di spesa relativi alla parte corrente, per verificare eventuali risparmi;</w:t>
      </w:r>
    </w:p>
    <w:p w:rsidR="00020EAA" w:rsidRDefault="00020EAA" w:rsidP="00020EAA">
      <w:pPr>
        <w:pStyle w:val="Paragrafoelenco"/>
        <w:numPr>
          <w:ilvl w:val="0"/>
          <w:numId w:val="21"/>
        </w:numPr>
        <w:jc w:val="both"/>
      </w:pPr>
      <w:r>
        <w:t xml:space="preserve">che sono stati </w:t>
      </w:r>
      <w:r w:rsidR="00C7455F">
        <w:t>incrementati</w:t>
      </w:r>
      <w:r>
        <w:t xml:space="preserve"> gli interventi ed alcune risorse in base alle richieste dei Direttori d’Area, adeguatamente motivate e depositate agli atti d’ufficio;</w:t>
      </w:r>
    </w:p>
    <w:p w:rsidR="00020EAA" w:rsidRDefault="00020EAA" w:rsidP="00020EAA">
      <w:pPr>
        <w:pStyle w:val="Paragrafoelenco"/>
        <w:numPr>
          <w:ilvl w:val="0"/>
          <w:numId w:val="21"/>
        </w:numPr>
        <w:jc w:val="both"/>
      </w:pPr>
      <w:r>
        <w:t>che tali interventi non determinano oneri indotti ne di indebitamento ne di gestione.</w:t>
      </w:r>
    </w:p>
    <w:p w:rsidR="003D19A8" w:rsidRPr="003D19A8" w:rsidRDefault="003D19A8" w:rsidP="003D19A8">
      <w:pPr>
        <w:ind w:left="360"/>
        <w:jc w:val="center"/>
        <w:rPr>
          <w:b/>
        </w:rPr>
      </w:pPr>
      <w:r w:rsidRPr="003D19A8">
        <w:rPr>
          <w:b/>
        </w:rPr>
        <w:t>VISTE</w:t>
      </w:r>
    </w:p>
    <w:p w:rsidR="004364BC" w:rsidRDefault="003D19A8" w:rsidP="003D19A8">
      <w:r>
        <w:t xml:space="preserve">Le richieste </w:t>
      </w:r>
      <w:r w:rsidR="00CF3627">
        <w:t xml:space="preserve">di previsioni di entrata </w:t>
      </w:r>
      <w:r>
        <w:t xml:space="preserve">presentate dai Direttori d’Area per i </w:t>
      </w:r>
      <w:r w:rsidR="00CF3627">
        <w:t xml:space="preserve">non </w:t>
      </w:r>
      <w:r>
        <w:t>quali esiste un vincolo con l</w:t>
      </w:r>
      <w:r w:rsidR="00CF3627">
        <w:t>a spesa</w:t>
      </w:r>
    </w:p>
    <w:tbl>
      <w:tblPr>
        <w:tblStyle w:val="Grigliatabella"/>
        <w:tblW w:w="0" w:type="auto"/>
        <w:tblLayout w:type="fixed"/>
        <w:tblLook w:val="04A0"/>
      </w:tblPr>
      <w:tblGrid>
        <w:gridCol w:w="1120"/>
        <w:gridCol w:w="1641"/>
        <w:gridCol w:w="1461"/>
        <w:gridCol w:w="1238"/>
        <w:gridCol w:w="1169"/>
        <w:gridCol w:w="1276"/>
        <w:gridCol w:w="1023"/>
        <w:gridCol w:w="926"/>
      </w:tblGrid>
      <w:tr w:rsidR="00AC06F6" w:rsidRPr="005B7EAA" w:rsidTr="00AC06F6">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TITOLO</w:t>
            </w:r>
          </w:p>
        </w:tc>
        <w:tc>
          <w:tcPr>
            <w:tcW w:w="1461" w:type="dxa"/>
          </w:tcPr>
          <w:p w:rsidR="00AC06F6" w:rsidRPr="005B7EAA" w:rsidRDefault="00AC06F6" w:rsidP="00081477">
            <w:pPr>
              <w:jc w:val="center"/>
              <w:rPr>
                <w:b/>
              </w:rPr>
            </w:pPr>
            <w:r w:rsidRPr="005B7EAA">
              <w:rPr>
                <w:b/>
              </w:rPr>
              <w:t>TIPOLOGIA</w:t>
            </w:r>
          </w:p>
        </w:tc>
        <w:tc>
          <w:tcPr>
            <w:tcW w:w="1238"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1E3D5F" w:rsidTr="00AC06F6">
        <w:tc>
          <w:tcPr>
            <w:tcW w:w="1120" w:type="dxa"/>
          </w:tcPr>
          <w:p w:rsidR="001E3D5F" w:rsidRDefault="000B0825" w:rsidP="00081477">
            <w:r>
              <w:t>1.101.06</w:t>
            </w:r>
          </w:p>
        </w:tc>
        <w:tc>
          <w:tcPr>
            <w:tcW w:w="1641" w:type="dxa"/>
          </w:tcPr>
          <w:p w:rsidR="001E3D5F" w:rsidRDefault="000B0825" w:rsidP="00081477">
            <w:r>
              <w:t>Entrate correnti di natura tributaria, contributiva e perequativa</w:t>
            </w:r>
          </w:p>
        </w:tc>
        <w:tc>
          <w:tcPr>
            <w:tcW w:w="1461" w:type="dxa"/>
          </w:tcPr>
          <w:p w:rsidR="001E3D5F" w:rsidRDefault="000B0825" w:rsidP="004E224C">
            <w:r>
              <w:t>Imposte e tasse e proventi assimilati</w:t>
            </w:r>
          </w:p>
        </w:tc>
        <w:tc>
          <w:tcPr>
            <w:tcW w:w="1238" w:type="dxa"/>
          </w:tcPr>
          <w:p w:rsidR="001E3D5F" w:rsidRDefault="000B0825" w:rsidP="001E3D5F">
            <w:r>
              <w:t>Imposta municipale propria</w:t>
            </w:r>
          </w:p>
        </w:tc>
        <w:tc>
          <w:tcPr>
            <w:tcW w:w="1169" w:type="dxa"/>
          </w:tcPr>
          <w:p w:rsidR="001E3D5F" w:rsidRDefault="001E3D5F" w:rsidP="00081477">
            <w:pPr>
              <w:jc w:val="right"/>
            </w:pPr>
          </w:p>
        </w:tc>
        <w:tc>
          <w:tcPr>
            <w:tcW w:w="1276" w:type="dxa"/>
          </w:tcPr>
          <w:p w:rsidR="001E3D5F" w:rsidRDefault="00CF3627" w:rsidP="00081477">
            <w:pPr>
              <w:jc w:val="right"/>
            </w:pPr>
            <w:r>
              <w:t>-202.114</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CF3627" w:rsidRPr="005B7EAA" w:rsidTr="00AC06F6">
        <w:tc>
          <w:tcPr>
            <w:tcW w:w="1120" w:type="dxa"/>
          </w:tcPr>
          <w:p w:rsidR="00CF3627" w:rsidRPr="005B7EAA" w:rsidRDefault="00CF3627" w:rsidP="00081477">
            <w:pPr>
              <w:jc w:val="center"/>
              <w:rPr>
                <w:b/>
              </w:rPr>
            </w:pPr>
            <w:r w:rsidRPr="005B7EAA">
              <w:rPr>
                <w:b/>
              </w:rPr>
              <w:t>Codice Bilancio</w:t>
            </w:r>
          </w:p>
        </w:tc>
        <w:tc>
          <w:tcPr>
            <w:tcW w:w="1641" w:type="dxa"/>
          </w:tcPr>
          <w:p w:rsidR="00CF3627" w:rsidRPr="005B7EAA" w:rsidRDefault="00CF3627" w:rsidP="008718EC">
            <w:pPr>
              <w:jc w:val="center"/>
              <w:rPr>
                <w:b/>
              </w:rPr>
            </w:pPr>
            <w:r w:rsidRPr="005B7EAA">
              <w:rPr>
                <w:b/>
              </w:rPr>
              <w:t>TITOLO</w:t>
            </w:r>
          </w:p>
        </w:tc>
        <w:tc>
          <w:tcPr>
            <w:tcW w:w="1461" w:type="dxa"/>
          </w:tcPr>
          <w:p w:rsidR="00CF3627" w:rsidRPr="005B7EAA" w:rsidRDefault="00CF3627" w:rsidP="008718EC">
            <w:pPr>
              <w:jc w:val="center"/>
              <w:rPr>
                <w:b/>
              </w:rPr>
            </w:pPr>
            <w:r w:rsidRPr="005B7EAA">
              <w:rPr>
                <w:b/>
              </w:rPr>
              <w:t>TIPOLOGIA</w:t>
            </w:r>
          </w:p>
        </w:tc>
        <w:tc>
          <w:tcPr>
            <w:tcW w:w="1238" w:type="dxa"/>
          </w:tcPr>
          <w:p w:rsidR="00CF3627" w:rsidRPr="00E31A22" w:rsidRDefault="00CF3627" w:rsidP="008718EC">
            <w:pPr>
              <w:jc w:val="center"/>
              <w:rPr>
                <w:b/>
                <w:sz w:val="20"/>
                <w:szCs w:val="20"/>
              </w:rPr>
            </w:pPr>
            <w:r w:rsidRPr="00E31A22">
              <w:rPr>
                <w:b/>
                <w:sz w:val="20"/>
                <w:szCs w:val="20"/>
              </w:rPr>
              <w:t>CATEGORIA</w:t>
            </w:r>
          </w:p>
        </w:tc>
        <w:tc>
          <w:tcPr>
            <w:tcW w:w="1169" w:type="dxa"/>
          </w:tcPr>
          <w:p w:rsidR="00CF3627" w:rsidRPr="005B7EAA" w:rsidRDefault="00CF3627" w:rsidP="00081477">
            <w:pPr>
              <w:jc w:val="center"/>
              <w:rPr>
                <w:b/>
              </w:rPr>
            </w:pPr>
          </w:p>
        </w:tc>
        <w:tc>
          <w:tcPr>
            <w:tcW w:w="1276" w:type="dxa"/>
          </w:tcPr>
          <w:p w:rsidR="00CF3627" w:rsidRPr="005B7EAA" w:rsidRDefault="00CF3627" w:rsidP="00081477">
            <w:pPr>
              <w:jc w:val="right"/>
              <w:rPr>
                <w:b/>
              </w:rPr>
            </w:pPr>
            <w:r w:rsidRPr="005B7EAA">
              <w:rPr>
                <w:b/>
              </w:rPr>
              <w:t>VARIAZ. 20</w:t>
            </w:r>
            <w:r>
              <w:rPr>
                <w:b/>
              </w:rPr>
              <w:t>20</w:t>
            </w:r>
          </w:p>
        </w:tc>
        <w:tc>
          <w:tcPr>
            <w:tcW w:w="1023" w:type="dxa"/>
          </w:tcPr>
          <w:p w:rsidR="00CF3627" w:rsidRPr="005B7EAA" w:rsidRDefault="00CF3627" w:rsidP="00081477">
            <w:pPr>
              <w:jc w:val="right"/>
              <w:rPr>
                <w:b/>
              </w:rPr>
            </w:pPr>
            <w:r w:rsidRPr="005B7EAA">
              <w:rPr>
                <w:b/>
              </w:rPr>
              <w:t>VARIAZ. 202</w:t>
            </w:r>
            <w:r>
              <w:rPr>
                <w:b/>
              </w:rPr>
              <w:t>1</w:t>
            </w:r>
          </w:p>
        </w:tc>
        <w:tc>
          <w:tcPr>
            <w:tcW w:w="926" w:type="dxa"/>
          </w:tcPr>
          <w:p w:rsidR="00CF3627" w:rsidRPr="005B7EAA" w:rsidRDefault="00CF3627" w:rsidP="00081477">
            <w:pPr>
              <w:jc w:val="right"/>
              <w:rPr>
                <w:b/>
              </w:rPr>
            </w:pPr>
            <w:r w:rsidRPr="005B7EAA">
              <w:rPr>
                <w:b/>
              </w:rPr>
              <w:t>VARIAZ. 202</w:t>
            </w:r>
            <w:r>
              <w:rPr>
                <w:b/>
              </w:rPr>
              <w:t>2</w:t>
            </w:r>
          </w:p>
        </w:tc>
      </w:tr>
      <w:tr w:rsidR="000B0825" w:rsidTr="00AC06F6">
        <w:tc>
          <w:tcPr>
            <w:tcW w:w="1120" w:type="dxa"/>
          </w:tcPr>
          <w:p w:rsidR="000B0825" w:rsidRDefault="000B0825" w:rsidP="00081477">
            <w:r>
              <w:t>2.101.01</w:t>
            </w:r>
          </w:p>
        </w:tc>
        <w:tc>
          <w:tcPr>
            <w:tcW w:w="1641" w:type="dxa"/>
          </w:tcPr>
          <w:p w:rsidR="000B0825" w:rsidRDefault="000B0825" w:rsidP="00081477">
            <w:r>
              <w:t>Trasferimenti correnti</w:t>
            </w:r>
          </w:p>
        </w:tc>
        <w:tc>
          <w:tcPr>
            <w:tcW w:w="1461" w:type="dxa"/>
          </w:tcPr>
          <w:p w:rsidR="000B0825" w:rsidRDefault="000B0825" w:rsidP="008718EC">
            <w:r>
              <w:t>Trasferimenti correnti</w:t>
            </w:r>
            <w:r>
              <w:t xml:space="preserve"> da amministrazioni pubbliche</w:t>
            </w:r>
          </w:p>
        </w:tc>
        <w:tc>
          <w:tcPr>
            <w:tcW w:w="1238" w:type="dxa"/>
          </w:tcPr>
          <w:p w:rsidR="000B0825" w:rsidRDefault="000B0825" w:rsidP="000B0825">
            <w:r>
              <w:t xml:space="preserve">Trasferimenti correnti da amministrazioni </w:t>
            </w:r>
            <w:r>
              <w:t>centrali</w:t>
            </w:r>
          </w:p>
        </w:tc>
        <w:tc>
          <w:tcPr>
            <w:tcW w:w="1169" w:type="dxa"/>
          </w:tcPr>
          <w:p w:rsidR="000B0825" w:rsidRDefault="000B0825" w:rsidP="00081477"/>
        </w:tc>
        <w:tc>
          <w:tcPr>
            <w:tcW w:w="1276" w:type="dxa"/>
          </w:tcPr>
          <w:p w:rsidR="000B0825" w:rsidRDefault="000B0825" w:rsidP="004E224C">
            <w:pPr>
              <w:jc w:val="right"/>
            </w:pPr>
            <w:r>
              <w:t>202.114,00</w:t>
            </w:r>
          </w:p>
        </w:tc>
        <w:tc>
          <w:tcPr>
            <w:tcW w:w="1023" w:type="dxa"/>
          </w:tcPr>
          <w:p w:rsidR="000B0825" w:rsidRDefault="000B0825" w:rsidP="00081477">
            <w:pPr>
              <w:jc w:val="right"/>
            </w:pPr>
            <w:r>
              <w:t>-</w:t>
            </w:r>
          </w:p>
        </w:tc>
        <w:tc>
          <w:tcPr>
            <w:tcW w:w="926" w:type="dxa"/>
          </w:tcPr>
          <w:p w:rsidR="000B0825" w:rsidRDefault="000B0825" w:rsidP="00081477">
            <w:pPr>
              <w:jc w:val="right"/>
            </w:pPr>
            <w:r>
              <w:t>-</w:t>
            </w:r>
          </w:p>
        </w:tc>
      </w:tr>
    </w:tbl>
    <w:p w:rsidR="00755942" w:rsidRDefault="00755942" w:rsidP="003D19A8">
      <w:pPr>
        <w:pStyle w:val="Standard"/>
        <w:autoSpaceDE w:val="0"/>
        <w:jc w:val="center"/>
        <w:rPr>
          <w:rFonts w:asciiTheme="minorHAnsi" w:eastAsiaTheme="minorHAnsi" w:hAnsiTheme="minorHAnsi" w:cstheme="minorBidi"/>
          <w:b/>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w:t>
      </w:r>
      <w:r w:rsidR="0098045A">
        <w:rPr>
          <w:rFonts w:asciiTheme="minorHAnsi" w:eastAsiaTheme="minorHAnsi" w:hAnsiTheme="minorHAnsi" w:cstheme="minorBidi"/>
          <w:kern w:val="0"/>
          <w:sz w:val="22"/>
          <w:szCs w:val="22"/>
          <w:lang w:eastAsia="en-US"/>
        </w:rPr>
        <w:t xml:space="preserve"> dettagliatamente descritte negli </w:t>
      </w:r>
      <w:r w:rsidRPr="008F5D91">
        <w:rPr>
          <w:rFonts w:asciiTheme="minorHAnsi" w:eastAsiaTheme="minorHAnsi" w:hAnsiTheme="minorHAnsi" w:cstheme="minorBidi"/>
          <w:kern w:val="0"/>
          <w:sz w:val="22"/>
          <w:szCs w:val="22"/>
          <w:lang w:eastAsia="en-US"/>
        </w:rPr>
        <w:t>allegat</w:t>
      </w:r>
      <w:r w:rsidR="0098045A">
        <w:rPr>
          <w:rFonts w:asciiTheme="minorHAnsi" w:eastAsiaTheme="minorHAnsi" w:hAnsiTheme="minorHAnsi" w:cstheme="minorBidi"/>
          <w:kern w:val="0"/>
          <w:sz w:val="22"/>
          <w:szCs w:val="22"/>
          <w:lang w:eastAsia="en-US"/>
        </w:rPr>
        <w:t>i</w:t>
      </w:r>
      <w:r w:rsidRPr="008F5D91">
        <w:rPr>
          <w:rFonts w:asciiTheme="minorHAnsi" w:eastAsiaTheme="minorHAnsi" w:hAnsiTheme="minorHAnsi" w:cstheme="minorBidi"/>
          <w:kern w:val="0"/>
          <w:sz w:val="22"/>
          <w:szCs w:val="22"/>
          <w:lang w:eastAsia="en-US"/>
        </w:rPr>
        <w:t xml:space="preserve">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096BF6">
        <w:rPr>
          <w:rFonts w:asciiTheme="minorHAnsi" w:eastAsiaTheme="minorHAnsi" w:hAnsiTheme="minorHAnsi" w:cstheme="minorBidi"/>
          <w:kern w:val="0"/>
          <w:sz w:val="22"/>
          <w:szCs w:val="22"/>
          <w:lang w:eastAsia="en-US"/>
        </w:rPr>
        <w:t>1</w:t>
      </w:r>
      <w:r>
        <w:rPr>
          <w:rFonts w:asciiTheme="minorHAnsi" w:eastAsiaTheme="minorHAnsi" w:hAnsiTheme="minorHAnsi" w:cstheme="minorBidi"/>
          <w:kern w:val="0"/>
          <w:sz w:val="22"/>
          <w:szCs w:val="22"/>
          <w:lang w:eastAsia="en-US"/>
        </w:rPr>
        <w:t xml:space="preserve"> </w:t>
      </w:r>
      <w:r w:rsidR="00527E3D">
        <w:rPr>
          <w:rFonts w:asciiTheme="minorHAnsi" w:eastAsiaTheme="minorHAnsi" w:hAnsiTheme="minorHAnsi" w:cstheme="minorBidi"/>
          <w:kern w:val="0"/>
          <w:sz w:val="22"/>
          <w:szCs w:val="22"/>
          <w:lang w:eastAsia="en-US"/>
        </w:rPr>
        <w:t>luglio</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A139C3" w:rsidRDefault="008E4265" w:rsidP="00A156F2">
      <w:pPr>
        <w:pStyle w:val="Standard"/>
        <w:autoSpaceDE w:val="0"/>
        <w:jc w:val="both"/>
      </w:pPr>
      <w:r>
        <w:rPr>
          <w:rFonts w:asciiTheme="minorHAnsi" w:eastAsiaTheme="minorHAnsi" w:hAnsiTheme="minorHAnsi" w:cstheme="minorBidi"/>
          <w:kern w:val="0"/>
          <w:sz w:val="22"/>
          <w:szCs w:val="22"/>
          <w:lang w:eastAsia="en-US"/>
        </w:rPr>
        <w:t>Dr.ssa Monia Ibba - Componente</w:t>
      </w:r>
    </w:p>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25A" w:rsidRDefault="00B4325A" w:rsidP="00A139C3">
      <w:pPr>
        <w:spacing w:after="0" w:line="240" w:lineRule="auto"/>
      </w:pPr>
      <w:r>
        <w:separator/>
      </w:r>
    </w:p>
  </w:endnote>
  <w:endnote w:type="continuationSeparator" w:id="1">
    <w:p w:rsidR="00B4325A" w:rsidRDefault="00B4325A"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D9" w:rsidRDefault="002007D9" w:rsidP="00A139C3">
    <w:pPr>
      <w:pStyle w:val="Pidipagina"/>
      <w:jc w:val="center"/>
    </w:pPr>
    <w:r>
      <w:rPr>
        <w:rFonts w:ascii="Garamond" w:hAnsi="Garamond" w:cs="Garamond"/>
        <w:i/>
        <w:iCs/>
        <w:color w:val="808080"/>
        <w:sz w:val="20"/>
      </w:rPr>
      <w:t>Comune di Selargius  - Parere variazione Bilancio finanziario di previsione 2020 - 2022</w:t>
    </w:r>
  </w:p>
  <w:p w:rsidR="002007D9" w:rsidRDefault="002007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25A" w:rsidRDefault="00B4325A" w:rsidP="00A139C3">
      <w:pPr>
        <w:spacing w:after="0" w:line="240" w:lineRule="auto"/>
      </w:pPr>
      <w:r>
        <w:separator/>
      </w:r>
    </w:p>
  </w:footnote>
  <w:footnote w:type="continuationSeparator" w:id="1">
    <w:p w:rsidR="00B4325A" w:rsidRDefault="00B4325A"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D9" w:rsidRPr="007B4902" w:rsidRDefault="000D399E"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2007D9" w:rsidRDefault="000D399E">
                    <w:pPr>
                      <w:pStyle w:val="Pidipagina"/>
                      <w:jc w:val="center"/>
                      <w:rPr>
                        <w:color w:val="FFFFFF" w:themeColor="background1"/>
                      </w:rPr>
                    </w:pPr>
                    <w:fldSimple w:instr=" PAGE   \* MERGEFORMAT ">
                      <w:r w:rsidR="00A156F2" w:rsidRPr="00A156F2">
                        <w:rPr>
                          <w:noProof/>
                          <w:color w:val="FFFFFF" w:themeColor="background1"/>
                        </w:rPr>
                        <w:t>1</w:t>
                      </w:r>
                    </w:fldSimple>
                  </w:p>
                  <w:p w:rsidR="002007D9" w:rsidRDefault="002007D9"/>
                </w:txbxContent>
              </v:textbox>
              <w10:wrap anchorx="page" anchory="margin"/>
            </v:shape>
          </w:pict>
        </w:r>
      </w:sdtContent>
    </w:sdt>
    <w:r w:rsidR="002007D9">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2007D9" w:rsidRPr="007B4902" w:rsidRDefault="002007D9"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2007D9" w:rsidRPr="007B4902" w:rsidRDefault="002007D9" w:rsidP="00A139C3">
    <w:pPr>
      <w:jc w:val="center"/>
    </w:pPr>
  </w:p>
  <w:p w:rsidR="002007D9" w:rsidRDefault="002007D9"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1C0"/>
    <w:multiLevelType w:val="hybridMultilevel"/>
    <w:tmpl w:val="46685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8"/>
  </w:num>
  <w:num w:numId="5">
    <w:abstractNumId w:val="8"/>
  </w:num>
  <w:num w:numId="6">
    <w:abstractNumId w:val="1"/>
  </w:num>
  <w:num w:numId="7">
    <w:abstractNumId w:val="2"/>
  </w:num>
  <w:num w:numId="8">
    <w:abstractNumId w:val="11"/>
  </w:num>
  <w:num w:numId="9">
    <w:abstractNumId w:val="9"/>
  </w:num>
  <w:num w:numId="10">
    <w:abstractNumId w:val="14"/>
  </w:num>
  <w:num w:numId="11">
    <w:abstractNumId w:val="13"/>
  </w:num>
  <w:num w:numId="12">
    <w:abstractNumId w:val="20"/>
  </w:num>
  <w:num w:numId="13">
    <w:abstractNumId w:val="12"/>
  </w:num>
  <w:num w:numId="14">
    <w:abstractNumId w:val="16"/>
  </w:num>
  <w:num w:numId="15">
    <w:abstractNumId w:val="4"/>
  </w:num>
  <w:num w:numId="16">
    <w:abstractNumId w:val="22"/>
  </w:num>
  <w:num w:numId="17">
    <w:abstractNumId w:val="19"/>
  </w:num>
  <w:num w:numId="18">
    <w:abstractNumId w:val="5"/>
  </w:num>
  <w:num w:numId="19">
    <w:abstractNumId w:val="6"/>
  </w:num>
  <w:num w:numId="20">
    <w:abstractNumId w:val="24"/>
  </w:num>
  <w:num w:numId="21">
    <w:abstractNumId w:val="25"/>
  </w:num>
  <w:num w:numId="22">
    <w:abstractNumId w:val="23"/>
  </w:num>
  <w:num w:numId="23">
    <w:abstractNumId w:val="15"/>
  </w:num>
  <w:num w:numId="24">
    <w:abstractNumId w:val="21"/>
  </w:num>
  <w:num w:numId="25">
    <w:abstractNumId w:val="1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6082"/>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F82"/>
    <w:rsid w:val="00020EAA"/>
    <w:rsid w:val="00021133"/>
    <w:rsid w:val="00023425"/>
    <w:rsid w:val="0002496D"/>
    <w:rsid w:val="00024FD5"/>
    <w:rsid w:val="000272D9"/>
    <w:rsid w:val="00027C16"/>
    <w:rsid w:val="00027DED"/>
    <w:rsid w:val="00066C14"/>
    <w:rsid w:val="00071492"/>
    <w:rsid w:val="0007254B"/>
    <w:rsid w:val="000762C8"/>
    <w:rsid w:val="0008013B"/>
    <w:rsid w:val="00080E4C"/>
    <w:rsid w:val="00081477"/>
    <w:rsid w:val="00087679"/>
    <w:rsid w:val="00096BF6"/>
    <w:rsid w:val="000A37C1"/>
    <w:rsid w:val="000B0630"/>
    <w:rsid w:val="000B0825"/>
    <w:rsid w:val="000B3DEE"/>
    <w:rsid w:val="000C1D7B"/>
    <w:rsid w:val="000D1CAC"/>
    <w:rsid w:val="000D399E"/>
    <w:rsid w:val="000F635A"/>
    <w:rsid w:val="000F68B5"/>
    <w:rsid w:val="00100BA6"/>
    <w:rsid w:val="00101564"/>
    <w:rsid w:val="00112569"/>
    <w:rsid w:val="00112EEB"/>
    <w:rsid w:val="00142664"/>
    <w:rsid w:val="0014490D"/>
    <w:rsid w:val="00146891"/>
    <w:rsid w:val="0015417E"/>
    <w:rsid w:val="00160856"/>
    <w:rsid w:val="00167538"/>
    <w:rsid w:val="00170CA4"/>
    <w:rsid w:val="00177140"/>
    <w:rsid w:val="00187DE7"/>
    <w:rsid w:val="00197ADF"/>
    <w:rsid w:val="001A52D3"/>
    <w:rsid w:val="001B2691"/>
    <w:rsid w:val="001B6EFC"/>
    <w:rsid w:val="001C1784"/>
    <w:rsid w:val="001C1C1C"/>
    <w:rsid w:val="001E041A"/>
    <w:rsid w:val="001E0EE1"/>
    <w:rsid w:val="001E25ED"/>
    <w:rsid w:val="001E3D5F"/>
    <w:rsid w:val="002007D9"/>
    <w:rsid w:val="002070BE"/>
    <w:rsid w:val="002111D0"/>
    <w:rsid w:val="00211AD5"/>
    <w:rsid w:val="0021487D"/>
    <w:rsid w:val="00233B22"/>
    <w:rsid w:val="00240059"/>
    <w:rsid w:val="002455E1"/>
    <w:rsid w:val="00266FC2"/>
    <w:rsid w:val="002676F4"/>
    <w:rsid w:val="002778C7"/>
    <w:rsid w:val="00280E3D"/>
    <w:rsid w:val="002A2F10"/>
    <w:rsid w:val="002A41C9"/>
    <w:rsid w:val="002A475C"/>
    <w:rsid w:val="002A7042"/>
    <w:rsid w:val="002B6CF5"/>
    <w:rsid w:val="002C2781"/>
    <w:rsid w:val="002C4471"/>
    <w:rsid w:val="002D115A"/>
    <w:rsid w:val="00310646"/>
    <w:rsid w:val="00313CD1"/>
    <w:rsid w:val="00324313"/>
    <w:rsid w:val="00336B02"/>
    <w:rsid w:val="0034330C"/>
    <w:rsid w:val="00346BBE"/>
    <w:rsid w:val="00372F98"/>
    <w:rsid w:val="003767C4"/>
    <w:rsid w:val="003863D6"/>
    <w:rsid w:val="003877CF"/>
    <w:rsid w:val="0039289B"/>
    <w:rsid w:val="00397D11"/>
    <w:rsid w:val="003A666B"/>
    <w:rsid w:val="003B7CD1"/>
    <w:rsid w:val="003C1DD2"/>
    <w:rsid w:val="003C258D"/>
    <w:rsid w:val="003C4E60"/>
    <w:rsid w:val="003C5AA0"/>
    <w:rsid w:val="003D19A8"/>
    <w:rsid w:val="003D3D81"/>
    <w:rsid w:val="003D49CC"/>
    <w:rsid w:val="003F0414"/>
    <w:rsid w:val="003F5287"/>
    <w:rsid w:val="003F728A"/>
    <w:rsid w:val="003F78C8"/>
    <w:rsid w:val="004079A6"/>
    <w:rsid w:val="00413977"/>
    <w:rsid w:val="00426F97"/>
    <w:rsid w:val="004364BC"/>
    <w:rsid w:val="00445E52"/>
    <w:rsid w:val="0044700C"/>
    <w:rsid w:val="0046338D"/>
    <w:rsid w:val="004A2529"/>
    <w:rsid w:val="004A699A"/>
    <w:rsid w:val="004B264D"/>
    <w:rsid w:val="004C0388"/>
    <w:rsid w:val="004C1DDB"/>
    <w:rsid w:val="004C7358"/>
    <w:rsid w:val="004D38D0"/>
    <w:rsid w:val="004E10B6"/>
    <w:rsid w:val="004E1D11"/>
    <w:rsid w:val="004E224C"/>
    <w:rsid w:val="004F1C50"/>
    <w:rsid w:val="005050F7"/>
    <w:rsid w:val="005066A9"/>
    <w:rsid w:val="00506D6B"/>
    <w:rsid w:val="00520B33"/>
    <w:rsid w:val="00524420"/>
    <w:rsid w:val="00527E3D"/>
    <w:rsid w:val="00535ACF"/>
    <w:rsid w:val="0055291F"/>
    <w:rsid w:val="005A1ACF"/>
    <w:rsid w:val="005B5010"/>
    <w:rsid w:val="005B7EAA"/>
    <w:rsid w:val="005C0D47"/>
    <w:rsid w:val="005D1732"/>
    <w:rsid w:val="005E53CA"/>
    <w:rsid w:val="005F7A2E"/>
    <w:rsid w:val="0060318C"/>
    <w:rsid w:val="00616294"/>
    <w:rsid w:val="00620177"/>
    <w:rsid w:val="0062183B"/>
    <w:rsid w:val="00626C43"/>
    <w:rsid w:val="00636526"/>
    <w:rsid w:val="006379D7"/>
    <w:rsid w:val="0065183F"/>
    <w:rsid w:val="006604AC"/>
    <w:rsid w:val="006806CB"/>
    <w:rsid w:val="0069078D"/>
    <w:rsid w:val="00692C6F"/>
    <w:rsid w:val="006B49AB"/>
    <w:rsid w:val="006B5907"/>
    <w:rsid w:val="006D0C50"/>
    <w:rsid w:val="006D676B"/>
    <w:rsid w:val="006E36EF"/>
    <w:rsid w:val="006E3980"/>
    <w:rsid w:val="006F06B7"/>
    <w:rsid w:val="006F3BC1"/>
    <w:rsid w:val="00700ED1"/>
    <w:rsid w:val="0070191F"/>
    <w:rsid w:val="00712F75"/>
    <w:rsid w:val="00732EE2"/>
    <w:rsid w:val="0073461C"/>
    <w:rsid w:val="00755921"/>
    <w:rsid w:val="00755942"/>
    <w:rsid w:val="00757B7A"/>
    <w:rsid w:val="00760825"/>
    <w:rsid w:val="0077119F"/>
    <w:rsid w:val="0077165B"/>
    <w:rsid w:val="007752A1"/>
    <w:rsid w:val="00797673"/>
    <w:rsid w:val="007C138B"/>
    <w:rsid w:val="007C15AC"/>
    <w:rsid w:val="007F5A05"/>
    <w:rsid w:val="007F6188"/>
    <w:rsid w:val="00803585"/>
    <w:rsid w:val="00814E8F"/>
    <w:rsid w:val="00816BDF"/>
    <w:rsid w:val="00842FCC"/>
    <w:rsid w:val="0084406E"/>
    <w:rsid w:val="008457CB"/>
    <w:rsid w:val="008462FE"/>
    <w:rsid w:val="008507C5"/>
    <w:rsid w:val="00851E75"/>
    <w:rsid w:val="00857007"/>
    <w:rsid w:val="00863A65"/>
    <w:rsid w:val="00874D34"/>
    <w:rsid w:val="008862C3"/>
    <w:rsid w:val="0089286B"/>
    <w:rsid w:val="00893346"/>
    <w:rsid w:val="00896AF7"/>
    <w:rsid w:val="008A3ABF"/>
    <w:rsid w:val="008A4573"/>
    <w:rsid w:val="008B4179"/>
    <w:rsid w:val="008C67FD"/>
    <w:rsid w:val="008C6FD1"/>
    <w:rsid w:val="008E4265"/>
    <w:rsid w:val="008F2F3C"/>
    <w:rsid w:val="008F5DB4"/>
    <w:rsid w:val="008F7205"/>
    <w:rsid w:val="0090243A"/>
    <w:rsid w:val="00925480"/>
    <w:rsid w:val="00934DC6"/>
    <w:rsid w:val="00937517"/>
    <w:rsid w:val="009538DC"/>
    <w:rsid w:val="009628AC"/>
    <w:rsid w:val="00963CDD"/>
    <w:rsid w:val="00970CC6"/>
    <w:rsid w:val="00974190"/>
    <w:rsid w:val="0097638D"/>
    <w:rsid w:val="0098045A"/>
    <w:rsid w:val="009842F8"/>
    <w:rsid w:val="0099421F"/>
    <w:rsid w:val="009A3122"/>
    <w:rsid w:val="009A6C20"/>
    <w:rsid w:val="009C0A6D"/>
    <w:rsid w:val="009C4FD2"/>
    <w:rsid w:val="009D0F5D"/>
    <w:rsid w:val="009D1E20"/>
    <w:rsid w:val="009D4CDA"/>
    <w:rsid w:val="009D4D81"/>
    <w:rsid w:val="009D5736"/>
    <w:rsid w:val="009D5763"/>
    <w:rsid w:val="009E1F8A"/>
    <w:rsid w:val="009E66E6"/>
    <w:rsid w:val="009F1548"/>
    <w:rsid w:val="009F2085"/>
    <w:rsid w:val="009F478B"/>
    <w:rsid w:val="00A01E64"/>
    <w:rsid w:val="00A10225"/>
    <w:rsid w:val="00A139C3"/>
    <w:rsid w:val="00A156F2"/>
    <w:rsid w:val="00A273AB"/>
    <w:rsid w:val="00A30D14"/>
    <w:rsid w:val="00A373EB"/>
    <w:rsid w:val="00A37C48"/>
    <w:rsid w:val="00A53F24"/>
    <w:rsid w:val="00A576DC"/>
    <w:rsid w:val="00A67997"/>
    <w:rsid w:val="00A73388"/>
    <w:rsid w:val="00A80275"/>
    <w:rsid w:val="00A809C7"/>
    <w:rsid w:val="00A82E8A"/>
    <w:rsid w:val="00A84149"/>
    <w:rsid w:val="00A915C0"/>
    <w:rsid w:val="00AA035D"/>
    <w:rsid w:val="00AA1451"/>
    <w:rsid w:val="00AA2DCF"/>
    <w:rsid w:val="00AA609C"/>
    <w:rsid w:val="00AC06F6"/>
    <w:rsid w:val="00AC5330"/>
    <w:rsid w:val="00AF6212"/>
    <w:rsid w:val="00B0263B"/>
    <w:rsid w:val="00B026DF"/>
    <w:rsid w:val="00B07D91"/>
    <w:rsid w:val="00B10C5E"/>
    <w:rsid w:val="00B12B5E"/>
    <w:rsid w:val="00B13D22"/>
    <w:rsid w:val="00B26817"/>
    <w:rsid w:val="00B41213"/>
    <w:rsid w:val="00B4325A"/>
    <w:rsid w:val="00B44675"/>
    <w:rsid w:val="00B4486A"/>
    <w:rsid w:val="00B45472"/>
    <w:rsid w:val="00B5022A"/>
    <w:rsid w:val="00B52AE3"/>
    <w:rsid w:val="00B60F5C"/>
    <w:rsid w:val="00B6726B"/>
    <w:rsid w:val="00B70495"/>
    <w:rsid w:val="00B704A9"/>
    <w:rsid w:val="00B84FA0"/>
    <w:rsid w:val="00B94727"/>
    <w:rsid w:val="00BA6B60"/>
    <w:rsid w:val="00BA7DFD"/>
    <w:rsid w:val="00BA7E8A"/>
    <w:rsid w:val="00BB220B"/>
    <w:rsid w:val="00BC242C"/>
    <w:rsid w:val="00BC4234"/>
    <w:rsid w:val="00BC799E"/>
    <w:rsid w:val="00BD2CDB"/>
    <w:rsid w:val="00BF11B2"/>
    <w:rsid w:val="00BF2E82"/>
    <w:rsid w:val="00C054F4"/>
    <w:rsid w:val="00C06F12"/>
    <w:rsid w:val="00C14898"/>
    <w:rsid w:val="00C30235"/>
    <w:rsid w:val="00C41B3C"/>
    <w:rsid w:val="00C42C8A"/>
    <w:rsid w:val="00C43037"/>
    <w:rsid w:val="00C4355D"/>
    <w:rsid w:val="00C44774"/>
    <w:rsid w:val="00C52D86"/>
    <w:rsid w:val="00C56530"/>
    <w:rsid w:val="00C639B3"/>
    <w:rsid w:val="00C718F9"/>
    <w:rsid w:val="00C7296B"/>
    <w:rsid w:val="00C72FBA"/>
    <w:rsid w:val="00C73539"/>
    <w:rsid w:val="00C7455F"/>
    <w:rsid w:val="00C8220C"/>
    <w:rsid w:val="00CA3E21"/>
    <w:rsid w:val="00CB3654"/>
    <w:rsid w:val="00CC6B52"/>
    <w:rsid w:val="00CD25EB"/>
    <w:rsid w:val="00CF3627"/>
    <w:rsid w:val="00CF5593"/>
    <w:rsid w:val="00CF64A8"/>
    <w:rsid w:val="00D0105F"/>
    <w:rsid w:val="00D1121E"/>
    <w:rsid w:val="00D455EE"/>
    <w:rsid w:val="00D5448C"/>
    <w:rsid w:val="00D707F0"/>
    <w:rsid w:val="00D72734"/>
    <w:rsid w:val="00D73969"/>
    <w:rsid w:val="00D768F0"/>
    <w:rsid w:val="00DA0F6B"/>
    <w:rsid w:val="00DA623F"/>
    <w:rsid w:val="00DB532D"/>
    <w:rsid w:val="00DC1E89"/>
    <w:rsid w:val="00DF08F3"/>
    <w:rsid w:val="00DF0FB0"/>
    <w:rsid w:val="00E11673"/>
    <w:rsid w:val="00E15E45"/>
    <w:rsid w:val="00E20750"/>
    <w:rsid w:val="00E20B3F"/>
    <w:rsid w:val="00E22B7E"/>
    <w:rsid w:val="00E24333"/>
    <w:rsid w:val="00E332CB"/>
    <w:rsid w:val="00E343EB"/>
    <w:rsid w:val="00E546DB"/>
    <w:rsid w:val="00E57F59"/>
    <w:rsid w:val="00E74543"/>
    <w:rsid w:val="00E74D3A"/>
    <w:rsid w:val="00E85FDA"/>
    <w:rsid w:val="00E9165E"/>
    <w:rsid w:val="00EC138F"/>
    <w:rsid w:val="00EC5D0D"/>
    <w:rsid w:val="00ED1BEA"/>
    <w:rsid w:val="00ED322A"/>
    <w:rsid w:val="00F03852"/>
    <w:rsid w:val="00F0452D"/>
    <w:rsid w:val="00F0642D"/>
    <w:rsid w:val="00F31E80"/>
    <w:rsid w:val="00F324BA"/>
    <w:rsid w:val="00F5010D"/>
    <w:rsid w:val="00F5240C"/>
    <w:rsid w:val="00F57B9B"/>
    <w:rsid w:val="00F600C6"/>
    <w:rsid w:val="00F628E4"/>
    <w:rsid w:val="00F670E1"/>
    <w:rsid w:val="00F67DA5"/>
    <w:rsid w:val="00F72FA1"/>
    <w:rsid w:val="00FA0DD2"/>
    <w:rsid w:val="00FA171C"/>
    <w:rsid w:val="00FB4285"/>
    <w:rsid w:val="00FC3807"/>
    <w:rsid w:val="00FD199A"/>
    <w:rsid w:val="00FD3B6C"/>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4</Pages>
  <Words>1082</Words>
  <Characters>6169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255</cp:revision>
  <dcterms:created xsi:type="dcterms:W3CDTF">2019-05-15T10:15:00Z</dcterms:created>
  <dcterms:modified xsi:type="dcterms:W3CDTF">2020-07-01T11:54:00Z</dcterms:modified>
</cp:coreProperties>
</file>